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ha36vhpml2yb" w:id="0"/>
      <w:bookmarkEnd w:id="0"/>
      <w:r w:rsidDel="00000000" w:rsidR="00000000" w:rsidRPr="00000000">
        <w:rPr>
          <w:rtl w:val="0"/>
        </w:rPr>
        <w:t xml:space="preserve">Verzend- en Retourregeling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U heeft het recht om binnen een termijn van 14 dagen zonder opgave van redenen de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overeenkomst te herroepen. Gedurende deze termijn kunt u datgene met het product doen wat redelijkerwijs nodig is om het product te beoordelen. Het is toegestaan het product uit te proberen zoals u dat ook in een fysieke winkel zou doen. Daarbij kunt u het product uit de verpakking halen, tenzij de verpakking een verzegeling bevat. Heeft u meer gedaan dan nodig was om het product te proberen, dan kunnen wij u daarvoor kosten in rekening brengen.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De herroepingstermijn verstrijkt 14 dagen na de dag waarop u, of een door u aangewezen derde anders dan de vervoerder, het product in bezit heeft gekregen.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Als u in één bestelling meerdere goederen met verschillende levertijden heeft besteld verstrijkt de herroepingstermijn 14 dagen na de dag waarop u het laatste product of onderdeel heeft ontvangen.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Op het moment dat u met ons een regelmatige levering van producten bent overeengekomen verstrijkt de herroepingstermijn 14 dagen na de dag waarop u of een door u aangewezen derde, het eerste product fysiek in bezit krijgt. Om gebruik te maken van uw herroepingsrecht kunt u het product binnen uiterlijk 14 dagen aan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ons retourneren, inclusief een mededeling dat u een beroep doet op uw herroepingsrecht, naar: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Naam tuincentrum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Straat</w:t>
        <w:br w:type="textWrapping"/>
        <w:t xml:space="preserve">Postcode</w:t>
        <w:br w:type="textWrapping"/>
        <w:t xml:space="preserve">Plaats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Land</w:t>
        <w:br w:type="textWrapping"/>
        <w:t xml:space="preserve">Email adres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Wij verzoeken u het product zoveel als mogelijk in de originele verpakking te retourneren.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rPr/>
      </w:pPr>
      <w:bookmarkStart w:colFirst="0" w:colLast="0" w:name="_pxofv61iu6rn" w:id="1"/>
      <w:bookmarkEnd w:id="1"/>
      <w:r w:rsidDel="00000000" w:rsidR="00000000" w:rsidRPr="00000000">
        <w:rPr>
          <w:rtl w:val="0"/>
        </w:rPr>
        <w:t xml:space="preserve">Terugbetaling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Nadat u gebruik heeft gemaakt van uw herroepingsrecht ontvangt u alle betalingen, inclusief eventuele leveringskosten voor de heenzending, binnen veertien dagen terug. Wij betalen u terug met hetzelfde betaalmiddel waarmee u betaald heeft, tenzij u een andere methode met ons afspreekt.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U draagt zelf de kosten voor de retourzending. Afhankelijk van de door u bestelde producten kunt u ervoor kiezen om deze gratis zelf terug te bezorgen bij ons tuincentrum. De retourneringskosten van kleinere artikelen, zoals onder ander maar niet uitsluitend kleine handgereedschappen, bloembollen, tuinzaden en gewasbeschermings- of bestrijdingsmiddelen met een inhoud of volume van maximale 2 kilo / 2 liter zullen circa € 205,- bedragen, afhankelijk van de door u gekozen verzendwijze.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Bij grotere artikelen, zoals onder andere maar niet uitsluitend elektrische gereedschappen, ornamenten, bestrating, grond en tuinmeubelen kunnen deze kosten oplopen tot circa € 150,- afhankelijk van de door u bestelde hoeveelheid.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rPr/>
      </w:pPr>
      <w:bookmarkStart w:colFirst="0" w:colLast="0" w:name="_gi1kqrov2zv7" w:id="2"/>
      <w:bookmarkEnd w:id="2"/>
      <w:r w:rsidDel="00000000" w:rsidR="00000000" w:rsidRPr="00000000">
        <w:rPr>
          <w:rtl w:val="0"/>
        </w:rPr>
        <w:t xml:space="preserve">Uitsluiting herroepingsrecht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Het herroepingsrecht is uitgesloten voor: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Producten die snel bederven of een beperkte houdbaarheid hebben, zoals bijvoorbeeld bloemen, planten, kerstbomen en graszoden.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Producten die voor speciaal voor u op bestelling zijn samengesteld (boeketten, tafelstukken, kransen e.d.).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Levende producten zoals vissen en huisdieren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Wij wijzen u erop dat ook onze algemene voorwaarden van toepassing zijn. U kunt deze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raadplegen via onze website.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ageBreakBefore w:val="0"/>
      <w:jc w:val="right"/>
      <w:rPr/>
    </w:pPr>
    <w:r w:rsidDel="00000000" w:rsidR="00000000" w:rsidRPr="00000000">
      <w:rPr/>
      <w:drawing>
        <wp:inline distB="114300" distT="114300" distL="114300" distR="114300">
          <wp:extent cx="1096079" cy="9477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6079" cy="947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ind w:right="-466.062992125984"/>
      <w:jc w:val="right"/>
      <w:rPr/>
    </w:pPr>
    <w:r w:rsidDel="00000000" w:rsidR="00000000" w:rsidRPr="00000000">
      <w:rPr/>
      <w:drawing>
        <wp:inline distB="114300" distT="114300" distL="114300" distR="114300">
          <wp:extent cx="1811503" cy="60483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1503" cy="6048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rFonts w:ascii="Open Sans" w:cs="Open Sans" w:eastAsia="Open Sans" w:hAnsi="Open Sans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rFonts w:ascii="Open Sans SemiBold" w:cs="Open Sans SemiBold" w:eastAsia="Open Sans SemiBold" w:hAnsi="Open Sans SemiBold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